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1126">
      <w:pPr>
        <w:spacing w:line="560" w:lineRule="exact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5AB5A9D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需求响应邀约流程</w:t>
      </w:r>
    </w:p>
    <w:bookmarkEnd w:id="0"/>
    <w:p w14:paraId="2166ABF8">
      <w:pPr>
        <w:pStyle w:val="2"/>
        <w:widowControl w:val="0"/>
        <w:wordWrap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</w:pPr>
    </w:p>
    <w:p w14:paraId="7FAD866C">
      <w:pPr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highlight w:val="none"/>
          <w:lang w:val="en-US" w:eastAsia="zh-CN"/>
        </w:rPr>
        <w:t>一、邀约发布</w:t>
      </w:r>
    </w:p>
    <w:p w14:paraId="6514E45A">
      <w:pPr>
        <w:widowControl/>
        <w:wordWrap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电网企业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根据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电力供需形势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，</w:t>
      </w:r>
      <w:r>
        <w:rPr>
          <w:rFonts w:hint="eastAsia" w:ascii="仿宋_GB2312"/>
          <w:color w:val="auto"/>
          <w:szCs w:val="32"/>
          <w:highlight w:val="none"/>
        </w:rPr>
        <w:t>预判供电缺口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。电力负荷管理中心根据供电缺口提出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需求响应方式、规模、时段、区域范围等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建议。</w:t>
      </w:r>
    </w:p>
    <w:p w14:paraId="496F3780">
      <w:pPr>
        <w:widowControl/>
        <w:wordWrap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电力负荷管理中心经电力运行主管部门同意后，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向响应主体发出邀约通知，并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推送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基线负荷。</w:t>
      </w:r>
    </w:p>
    <w:p w14:paraId="0A5F56BC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highlight w:val="none"/>
          <w:lang w:val="en-US" w:eastAsia="zh-CN"/>
        </w:rPr>
        <w:t>二、应邀填报</w:t>
      </w:r>
    </w:p>
    <w:p w14:paraId="27B52F4D">
      <w:pPr>
        <w:widowControl/>
        <w:spacing w:line="560" w:lineRule="exact"/>
        <w:ind w:firstLine="643" w:firstLineChars="20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响应主体通过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新型电力负荷管理系统或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“网上国网”APP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查询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邀约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信息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反馈是否参与本次需求响应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逾时未反馈的视为不参与。</w:t>
      </w:r>
    </w:p>
    <w:p w14:paraId="4195986B">
      <w:pPr>
        <w:widowControl/>
        <w:spacing w:line="560" w:lineRule="exact"/>
        <w:ind w:firstLine="643" w:firstLineChars="200"/>
        <w:rPr>
          <w:rFonts w:hint="eastAsia" w:ascii="楷体_GB2312" w:hAnsi="楷体_GB2312" w:cs="楷体_GB2312"/>
          <w:b/>
          <w:bCs/>
          <w:color w:val="auto"/>
          <w:szCs w:val="32"/>
          <w:highlight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电力用户反馈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响应负荷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、响应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时段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，负荷聚合商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虚拟电厂运营商反馈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每户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代理用户的响应负荷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、响应时段及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响应负荷。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反馈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响应负荷不超过响应时段平均基线负荷。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邀约时间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截止前，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响应主体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可修改负荷信息。</w:t>
      </w:r>
    </w:p>
    <w:p w14:paraId="6B4E1148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highlight w:val="none"/>
          <w:lang w:val="en-US" w:eastAsia="zh-CN"/>
        </w:rPr>
        <w:t>三、结果查询</w:t>
      </w:r>
    </w:p>
    <w:p w14:paraId="0988F891"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邀约时间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截止后，电力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负荷管理中心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统计当次应邀负荷总量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通过电话、短信等方式通知响应主体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应邀结果，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响应主体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可在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新型电力负荷管理系统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“网上国网”APP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查询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确认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楷体-GB13000">
    <w:altName w:val="楷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79F13EF1"/>
    <w:rsid w:val="79F1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2024-07-23T02:40:00Z</dcterms:created>
  <dc:creator>WPS_1661499108</dc:creator>
  <cp:lastModifiedBy>WPS_1661499108</cp:lastModifiedBy>
  <dcterms:modified xsi:type="dcterms:W3CDTF">2024-07-23T02:41:18Z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9D94B7FE90C24E7D814221E0D78E8B6C_11</vt:lpwstr>
  </property>
</Properties>
</file>